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2E" w:rsidRDefault="00F47B2E" w:rsidP="00F47B2E">
      <w:pPr>
        <w:pStyle w:val="Heading1"/>
        <w:jc w:val="center"/>
        <w:rPr>
          <w:rFonts w:ascii="Bookman Old Style" w:hAnsi="Bookman Old Style"/>
          <w:sz w:val="32"/>
          <w:szCs w:val="32"/>
        </w:rPr>
      </w:pPr>
      <w:bookmarkStart w:id="0" w:name="_Toc529545328"/>
      <w:bookmarkStart w:id="1" w:name="_Toc530130102"/>
      <w:r w:rsidRPr="00220C2B">
        <w:rPr>
          <w:rFonts w:ascii="Bookman Old Style" w:hAnsi="Bookman Old Style"/>
          <w:sz w:val="32"/>
          <w:szCs w:val="32"/>
        </w:rPr>
        <w:t>CONTRACT NOTE FOR FORWARD AUCTIONS</w:t>
      </w:r>
      <w:bookmarkEnd w:id="0"/>
      <w:bookmarkEnd w:id="1"/>
    </w:p>
    <w:p w:rsidR="00B73177" w:rsidRPr="00B73177" w:rsidRDefault="00B73177" w:rsidP="00B73177">
      <w:pPr>
        <w:jc w:val="center"/>
        <w:rPr>
          <w:rFonts w:ascii="Bookman Old Style" w:eastAsiaTheme="majorEastAsia" w:hAnsi="Bookman Old Style" w:cstheme="majorBidi"/>
          <w:b/>
          <w:bCs/>
          <w:color w:val="365F91" w:themeColor="accent1" w:themeShade="BF"/>
          <w:sz w:val="32"/>
          <w:szCs w:val="32"/>
        </w:rPr>
      </w:pPr>
      <w:r w:rsidRPr="00B73177">
        <w:rPr>
          <w:rFonts w:ascii="Bookman Old Style" w:eastAsiaTheme="majorEastAsia" w:hAnsi="Bookman Old Style" w:cstheme="majorBidi"/>
          <w:b/>
          <w:bCs/>
          <w:color w:val="365F91" w:themeColor="accent1" w:themeShade="BF"/>
          <w:sz w:val="32"/>
          <w:szCs w:val="32"/>
        </w:rPr>
        <w:t>(</w:t>
      </w:r>
      <w:r w:rsidR="00A42120">
        <w:rPr>
          <w:rFonts w:ascii="Bookman Old Style" w:eastAsiaTheme="majorEastAsia" w:hAnsi="Bookman Old Style" w:cstheme="majorBidi"/>
          <w:b/>
          <w:bCs/>
          <w:color w:val="365F91" w:themeColor="accent1" w:themeShade="BF"/>
          <w:sz w:val="32"/>
          <w:szCs w:val="32"/>
        </w:rPr>
        <w:t>Fodder Seeds</w:t>
      </w:r>
      <w:r w:rsidRPr="00B73177">
        <w:rPr>
          <w:rFonts w:ascii="Bookman Old Style" w:eastAsiaTheme="majorEastAsia" w:hAnsi="Bookman Old Style" w:cstheme="majorBidi"/>
          <w:b/>
          <w:bCs/>
          <w:color w:val="365F91" w:themeColor="accent1" w:themeShade="BF"/>
          <w:sz w:val="32"/>
          <w:szCs w:val="32"/>
        </w:rPr>
        <w:t>)</w:t>
      </w:r>
    </w:p>
    <w:p w:rsidR="00654FB6" w:rsidRDefault="00654FB6" w:rsidP="00A85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IN" w:eastAsia="en-US"/>
        </w:rPr>
        <w:id w:val="165950436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B0136" w:rsidRPr="0071531D" w:rsidRDefault="000B0136" w:rsidP="000B0136">
          <w:pPr>
            <w:pStyle w:val="TOCHeading"/>
            <w:jc w:val="center"/>
            <w:rPr>
              <w:rFonts w:ascii="Bookman Old Style" w:hAnsi="Bookman Old Style"/>
              <w:sz w:val="22"/>
              <w:szCs w:val="22"/>
            </w:rPr>
          </w:pPr>
          <w:r w:rsidRPr="0071531D">
            <w:rPr>
              <w:rFonts w:ascii="Bookman Old Style" w:hAnsi="Bookman Old Style"/>
              <w:sz w:val="22"/>
              <w:szCs w:val="22"/>
            </w:rPr>
            <w:t>Contents</w:t>
          </w:r>
        </w:p>
        <w:p w:rsidR="000B0136" w:rsidRPr="0071531D" w:rsidRDefault="000B0136" w:rsidP="000B0136">
          <w:pPr>
            <w:rPr>
              <w:rFonts w:ascii="Bookman Old Style" w:hAnsi="Bookman Old Style"/>
              <w:lang w:val="en-US" w:eastAsia="ja-JP"/>
            </w:rPr>
          </w:pPr>
        </w:p>
        <w:p w:rsidR="0071531D" w:rsidRPr="0071531D" w:rsidRDefault="000B0136">
          <w:pPr>
            <w:pStyle w:val="TOC1"/>
            <w:rPr>
              <w:rFonts w:ascii="Bookman Old Style" w:eastAsiaTheme="minorEastAsia" w:hAnsi="Bookman Old Style"/>
              <w:noProof/>
              <w:lang w:eastAsia="en-IN"/>
            </w:rPr>
          </w:pPr>
          <w:r w:rsidRPr="0071531D">
            <w:rPr>
              <w:rFonts w:ascii="Bookman Old Style" w:hAnsi="Bookman Old Style"/>
            </w:rPr>
            <w:fldChar w:fldCharType="begin"/>
          </w:r>
          <w:r w:rsidRPr="0071531D">
            <w:rPr>
              <w:rFonts w:ascii="Bookman Old Style" w:hAnsi="Bookman Old Style"/>
            </w:rPr>
            <w:instrText xml:space="preserve"> TOC \o "1-3" \h \z \u </w:instrText>
          </w:r>
          <w:r w:rsidRPr="0071531D">
            <w:rPr>
              <w:rFonts w:ascii="Bookman Old Style" w:hAnsi="Bookman Old Style"/>
            </w:rPr>
            <w:fldChar w:fldCharType="separate"/>
          </w:r>
          <w:hyperlink w:anchor="_Toc530130102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CONTRACT NOTE FOR FORWARD AUCTIONS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_Toc530130102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1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03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CHAPTER 1 - AUCTION PARAMETERS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_Toc530130103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2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04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Authority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_Toc530130104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2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05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Unit of Trading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_Toc530130105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2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06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Bid and Offer Parameters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_Toc530130106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2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07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Trade Parameters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_Toc530130107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2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08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Quotation Price and Tick Size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_Toc530130108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2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09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Unit for Quantity Quotation and Quantity Tick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_Toc530130109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3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0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Auction Calendar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_Toc530130110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3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1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Pre-Requisites for Bidding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_Toc530130111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3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2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Auction Method (Ascending Auctions)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_Toc530130112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3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3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Margin Requirements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_Toc530130113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5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4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Contract Period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_Toc530130114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5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5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Penalty for default and Cancellation of trade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_Toc530130115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6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6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Arbitration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_Toc530130116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6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7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Force Majeure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_Toc530130117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7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1"/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8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CHAPTER 2 - DELIVERY PROCEDURES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_Toc530130118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8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19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Delivery Size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_Toc530130119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8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20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Delivery and Payment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_Toc530130120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8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21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Quality Standards and Specifications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_Toc530130121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8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22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Packaging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_Toc530130122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8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23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Quality Assurance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_Toc530130123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9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71531D" w:rsidRPr="0071531D" w:rsidRDefault="00AD1C88">
          <w:pPr>
            <w:pStyle w:val="TOC2"/>
            <w:tabs>
              <w:tab w:val="right" w:leader="dot" w:pos="9016"/>
            </w:tabs>
            <w:rPr>
              <w:rFonts w:ascii="Bookman Old Style" w:eastAsiaTheme="minorEastAsia" w:hAnsi="Bookman Old Style"/>
              <w:noProof/>
              <w:lang w:eastAsia="en-IN"/>
            </w:rPr>
          </w:pPr>
          <w:hyperlink w:anchor="_Toc530130124" w:history="1">
            <w:r w:rsidR="0071531D" w:rsidRPr="0071531D">
              <w:rPr>
                <w:rStyle w:val="Hyperlink"/>
                <w:rFonts w:ascii="Bookman Old Style" w:hAnsi="Bookman Old Style"/>
                <w:noProof/>
              </w:rPr>
              <w:t>Transaction Charges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tab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begin"/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instrText xml:space="preserve"> PAGEREF _Toc530130124 \h </w:instrTex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separate"/>
            </w:r>
            <w:r w:rsidR="00D76BB5">
              <w:rPr>
                <w:rFonts w:ascii="Bookman Old Style" w:hAnsi="Bookman Old Style"/>
                <w:noProof/>
                <w:webHidden/>
              </w:rPr>
              <w:t>9</w:t>
            </w:r>
            <w:r w:rsidR="0071531D" w:rsidRPr="0071531D">
              <w:rPr>
                <w:rFonts w:ascii="Bookman Old Style" w:hAnsi="Bookman Old Style"/>
                <w:noProof/>
                <w:webHidden/>
              </w:rPr>
              <w:fldChar w:fldCharType="end"/>
            </w:r>
          </w:hyperlink>
        </w:p>
        <w:p w:rsidR="000B0136" w:rsidRDefault="000B0136">
          <w:r w:rsidRPr="0071531D">
            <w:rPr>
              <w:rFonts w:ascii="Bookman Old Style" w:hAnsi="Bookman Old Style"/>
              <w:b/>
              <w:bCs/>
              <w:noProof/>
            </w:rPr>
            <w:fldChar w:fldCharType="end"/>
          </w:r>
        </w:p>
      </w:sdtContent>
    </w:sdt>
    <w:p w:rsidR="00654FB6" w:rsidRDefault="000B0136" w:rsidP="0032469B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2" w:name="_Toc530130103"/>
      <w:r w:rsidR="00654FB6" w:rsidRPr="0032469B">
        <w:rPr>
          <w:rFonts w:ascii="Bookman Old Style" w:hAnsi="Bookman Old Style"/>
        </w:rPr>
        <w:lastRenderedPageBreak/>
        <w:t>CHAPTER 1 - AUCTION PARAMETERS</w:t>
      </w:r>
      <w:bookmarkEnd w:id="2"/>
    </w:p>
    <w:p w:rsidR="00654FB6" w:rsidRDefault="00654FB6" w:rsidP="00A85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85CE7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3" w:name="_Toc530130104"/>
      <w:r w:rsidRPr="0032469B">
        <w:rPr>
          <w:rFonts w:ascii="Bookman Old Style" w:hAnsi="Bookman Old Style"/>
        </w:rPr>
        <w:t>Authority</w:t>
      </w:r>
      <w:bookmarkEnd w:id="3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Sellers authorized by NCDFI may put up Ascending Price Auction when </w:t>
      </w:r>
      <w:r w:rsidR="00714692">
        <w:rPr>
          <w:rFonts w:ascii="Bookman Old Style" w:hAnsi="Bookman Old Style" w:cs="Bookman Old Style"/>
          <w:color w:val="000000"/>
          <w:sz w:val="24"/>
          <w:szCs w:val="24"/>
        </w:rPr>
        <w:t>Fodder Seeds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are available for sale with them. </w:t>
      </w:r>
    </w:p>
    <w:p w:rsidR="00A85CE7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4" w:name="_Toc530130105"/>
      <w:r w:rsidRPr="0032469B">
        <w:rPr>
          <w:rFonts w:ascii="Bookman Old Style" w:hAnsi="Bookman Old Style"/>
        </w:rPr>
        <w:t>Unit of Trading</w:t>
      </w:r>
      <w:bookmarkEnd w:id="4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unit of trading shall be in Metric Ton. </w:t>
      </w:r>
    </w:p>
    <w:p w:rsidR="00A85CE7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5" w:name="_Toc530130106"/>
      <w:r w:rsidRPr="0032469B">
        <w:rPr>
          <w:rFonts w:ascii="Bookman Old Style" w:hAnsi="Bookman Old Style"/>
        </w:rPr>
        <w:t>Bid and Offer Parameters</w:t>
      </w:r>
      <w:bookmarkEnd w:id="5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</w:t>
      </w:r>
      <w:r w:rsidR="00815D17">
        <w:rPr>
          <w:rFonts w:ascii="Bookman Old Style" w:hAnsi="Bookman Old Style" w:cs="Bookman Old Style"/>
          <w:color w:val="000000"/>
          <w:sz w:val="24"/>
          <w:szCs w:val="24"/>
        </w:rPr>
        <w:t>Fodder Seeds</w:t>
      </w:r>
      <w:r w:rsidR="00706F80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gramStart"/>
      <w:r w:rsidR="00706F80">
        <w:rPr>
          <w:rFonts w:ascii="Bookman Old Style" w:hAnsi="Bookman Old Style" w:cs="Bookman Old Style"/>
          <w:color w:val="000000"/>
          <w:sz w:val="24"/>
          <w:szCs w:val="24"/>
        </w:rPr>
        <w:t xml:space="preserve">produced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by</w:t>
      </w:r>
      <w:proofErr w:type="gram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the sellers / their </w:t>
      </w:r>
      <w:r w:rsidR="00A7433D">
        <w:rPr>
          <w:rFonts w:ascii="Bookman Old Style" w:hAnsi="Bookman Old Style" w:cs="Bookman Old Style"/>
          <w:color w:val="000000"/>
          <w:sz w:val="24"/>
          <w:szCs w:val="24"/>
        </w:rPr>
        <w:t xml:space="preserve">farmers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are allowed to sell on the NCDFI portal. The seller will specify values of the parameters for the stock to be sold. The seller is not allowed to sell </w:t>
      </w:r>
      <w:r w:rsidR="00815D17">
        <w:rPr>
          <w:rFonts w:ascii="Bookman Old Style" w:hAnsi="Bookman Old Style" w:cs="Bookman Old Style"/>
          <w:color w:val="000000"/>
          <w:sz w:val="24"/>
          <w:szCs w:val="24"/>
        </w:rPr>
        <w:t>Fodder Seeds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that does not meet the </w:t>
      </w:r>
      <w:r w:rsidR="00B73177">
        <w:rPr>
          <w:rFonts w:ascii="Bookman Old Style" w:hAnsi="Bookman Old Style" w:cs="Bookman Old Style"/>
          <w:color w:val="000000"/>
          <w:sz w:val="24"/>
          <w:szCs w:val="24"/>
        </w:rPr>
        <w:t xml:space="preserve">mandatory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standards.</w:t>
      </w:r>
      <w:r w:rsidRPr="0032469B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p w:rsidR="00A85CE7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6" w:name="_Toc530130107"/>
      <w:r w:rsidRPr="0032469B">
        <w:rPr>
          <w:rFonts w:ascii="Bookman Old Style" w:hAnsi="Bookman Old Style"/>
        </w:rPr>
        <w:t>Trade Parameters</w:t>
      </w:r>
      <w:bookmarkEnd w:id="6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following Parameters of the product need to be provided by the seller.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Product Type </w:t>
      </w:r>
    </w:p>
    <w:p w:rsidR="00654FB6" w:rsidRPr="0032469B" w:rsidRDefault="00120748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Seller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="00654FB6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Name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Delivery Location </w:t>
      </w:r>
    </w:p>
    <w:p w:rsidR="00654FB6" w:rsidRPr="0032469B" w:rsidRDefault="00654FB6" w:rsidP="0012074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Delivery Mode (Ex-</w:t>
      </w:r>
      <w:r w:rsidR="00120748">
        <w:rPr>
          <w:rFonts w:ascii="Bookman Old Style" w:hAnsi="Bookman Old Style" w:cs="Bookman Old Style"/>
          <w:color w:val="000000"/>
          <w:sz w:val="24"/>
          <w:szCs w:val="24"/>
        </w:rPr>
        <w:t>Seed Plant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)</w:t>
      </w:r>
    </w:p>
    <w:p w:rsidR="00654FB6" w:rsidRPr="0032469B" w:rsidRDefault="00654FB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Contract Period Date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Packaging Size</w:t>
      </w:r>
      <w:r w:rsidRPr="0032469B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7" w:name="_Toc530130108"/>
      <w:r w:rsidRPr="0032469B">
        <w:rPr>
          <w:rFonts w:ascii="Bookman Old Style" w:hAnsi="Bookman Old Style"/>
        </w:rPr>
        <w:t>Quotation Price and Tick Size</w:t>
      </w:r>
      <w:bookmarkEnd w:id="7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FA0BA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Unit of Price Quotation shall be </w:t>
      </w:r>
      <w:proofErr w:type="spellStart"/>
      <w:proofErr w:type="gramStart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Rs</w:t>
      </w:r>
      <w:proofErr w:type="spell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./</w:t>
      </w:r>
      <w:proofErr w:type="gram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Kg. The tick size of the price of</w:t>
      </w:r>
      <w:r w:rsidR="00ED3830">
        <w:rPr>
          <w:rFonts w:ascii="Bookman Old Style" w:hAnsi="Bookman Old Style" w:cs="Bookman Old Style"/>
          <w:color w:val="000000"/>
          <w:sz w:val="24"/>
          <w:szCs w:val="24"/>
        </w:rPr>
        <w:t xml:space="preserve"> Fodder Seeds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shall be </w:t>
      </w:r>
      <w:r w:rsidR="00E57066">
        <w:rPr>
          <w:rFonts w:ascii="Bookman Old Style" w:hAnsi="Bookman Old Style" w:cs="Bookman Old Style"/>
          <w:color w:val="000000"/>
          <w:sz w:val="24"/>
          <w:szCs w:val="24"/>
        </w:rPr>
        <w:t>2</w:t>
      </w:r>
      <w:r w:rsidR="00ED3830">
        <w:rPr>
          <w:rFonts w:ascii="Bookman Old Style" w:hAnsi="Bookman Old Style" w:cs="Bookman Old Style"/>
          <w:color w:val="000000"/>
          <w:sz w:val="24"/>
          <w:szCs w:val="24"/>
        </w:rPr>
        <w:t>5</w:t>
      </w:r>
      <w:r w:rsidR="00421AA5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421AA5">
        <w:rPr>
          <w:rFonts w:ascii="Bookman Old Style" w:hAnsi="Bookman Old Style" w:cs="Bookman Old Style"/>
          <w:color w:val="000000"/>
          <w:sz w:val="24"/>
          <w:szCs w:val="24"/>
        </w:rPr>
        <w:t>Paise</w:t>
      </w:r>
      <w:proofErr w:type="spell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/Kg. </w:t>
      </w:r>
    </w:p>
    <w:p w:rsidR="000C70F2" w:rsidRDefault="000C70F2">
      <w:pPr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br w:type="page"/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8" w:name="_Toc530130109"/>
      <w:r w:rsidRPr="0032469B">
        <w:rPr>
          <w:rFonts w:ascii="Bookman Old Style" w:hAnsi="Bookman Old Style"/>
        </w:rPr>
        <w:lastRenderedPageBreak/>
        <w:t>Unit for Quantity Quotation and Quantity Tick</w:t>
      </w:r>
      <w:bookmarkEnd w:id="8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b/>
          <w:bCs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unit of quantity quotation for </w:t>
      </w:r>
      <w:r w:rsidR="00E71C49">
        <w:rPr>
          <w:rFonts w:ascii="Bookman Old Style" w:hAnsi="Bookman Old Style" w:cs="Bookman Old Style"/>
          <w:color w:val="000000"/>
          <w:sz w:val="24"/>
          <w:szCs w:val="24"/>
        </w:rPr>
        <w:t>Fodder Seeds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shall be in Metric Ton and Quantity Tick shall be 1 MT.</w:t>
      </w:r>
      <w:r w:rsidR="007E023A" w:rsidRPr="0032469B">
        <w:rPr>
          <w:rFonts w:ascii="Bookman Old Style" w:hAnsi="Bookman Old Style" w:cs="Bookman Old Style"/>
          <w:b/>
          <w:bCs/>
          <w:color w:val="000000"/>
          <w:sz w:val="24"/>
          <w:szCs w:val="24"/>
        </w:rPr>
        <w:t xml:space="preserve"> </w:t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9" w:name="_Toc530130110"/>
      <w:r w:rsidRPr="0032469B">
        <w:rPr>
          <w:rFonts w:ascii="Bookman Old Style" w:hAnsi="Bookman Old Style"/>
        </w:rPr>
        <w:t>Auction Calendar</w:t>
      </w:r>
      <w:bookmarkEnd w:id="9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auction will consist of a maximum of </w:t>
      </w:r>
      <w:r w:rsidR="005534F9">
        <w:rPr>
          <w:rFonts w:ascii="Bookman Old Style" w:hAnsi="Bookman Old Style" w:cs="Bookman Old Style"/>
          <w:color w:val="000000"/>
          <w:sz w:val="24"/>
          <w:szCs w:val="24"/>
        </w:rPr>
        <w:t>5</w:t>
      </w:r>
      <w:r w:rsidR="005534F9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rounds (30 minutes for first round and 15 minutes each for remaining with 5 </w:t>
      </w:r>
      <w:proofErr w:type="gramStart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minutes</w:t>
      </w:r>
      <w:proofErr w:type="gram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gap between two rounds). </w:t>
      </w:r>
    </w:p>
    <w:p w:rsidR="00654FB6" w:rsidRPr="0032469B" w:rsidRDefault="00654FB6" w:rsidP="007E023A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sellers have to specify the quantity, base price and quality parameters for the auction </w:t>
      </w:r>
      <w:r w:rsidR="00B94180" w:rsidRPr="0032469B">
        <w:rPr>
          <w:rFonts w:ascii="Bookman Old Style" w:hAnsi="Bookman Old Style" w:cs="Bookman Old Style"/>
          <w:color w:val="000000"/>
          <w:sz w:val="24"/>
          <w:szCs w:val="24"/>
        </w:rPr>
        <w:t>at least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one calendar day in advance. </w:t>
      </w:r>
    </w:p>
    <w:p w:rsidR="00654FB6" w:rsidRPr="0032469B" w:rsidRDefault="00654FB6" w:rsidP="007E023A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All the prices mentioned on the portal would be on ex-</w:t>
      </w:r>
      <w:r w:rsidR="00AE08C1">
        <w:rPr>
          <w:rFonts w:ascii="Bookman Old Style" w:hAnsi="Bookman Old Style" w:cs="Bookman Old Style"/>
          <w:color w:val="000000"/>
          <w:sz w:val="24"/>
          <w:szCs w:val="24"/>
        </w:rPr>
        <w:t>seed plant</w:t>
      </w:r>
      <w:r w:rsidR="00AE08C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basis and exclusive of applicable taxes, transportation, insurance, etc. </w:t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10" w:name="_Toc530130111"/>
      <w:r w:rsidRPr="0032469B">
        <w:rPr>
          <w:rFonts w:ascii="Bookman Old Style" w:hAnsi="Bookman Old Style"/>
        </w:rPr>
        <w:t>Pre-Requisites for Bidding</w:t>
      </w:r>
      <w:bookmarkEnd w:id="10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2E23F0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All registered members of the NCDFI </w:t>
      </w:r>
      <w:proofErr w:type="spellStart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eMarket</w:t>
      </w:r>
      <w:proofErr w:type="spell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are eligible to Bid. Bidders may contact NCDFI for any clarifications regarding membership &amp; terms and conditions of NCDFI </w:t>
      </w:r>
      <w:proofErr w:type="spellStart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eMarket</w:t>
      </w:r>
      <w:proofErr w:type="spell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.</w:t>
      </w:r>
      <w:r w:rsidRPr="0032469B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11" w:name="_Toc530130112"/>
      <w:r w:rsidRPr="0032469B">
        <w:rPr>
          <w:rFonts w:ascii="Bookman Old Style" w:hAnsi="Bookman Old Style"/>
        </w:rPr>
        <w:t>Auction Method (Ascending Auctions)</w:t>
      </w:r>
      <w:bookmarkEnd w:id="11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2E23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Quantity, base prices and other parameters of the products offered for auction by respective sellers shall be provided </w:t>
      </w:r>
      <w:proofErr w:type="spellStart"/>
      <w:r w:rsidR="00421AA5">
        <w:rPr>
          <w:rFonts w:ascii="Bookman Old Style" w:hAnsi="Bookman Old Style" w:cs="Bookman Old Style"/>
          <w:color w:val="000000"/>
          <w:sz w:val="24"/>
          <w:szCs w:val="24"/>
        </w:rPr>
        <w:t>atleast</w:t>
      </w:r>
      <w:proofErr w:type="spellEnd"/>
      <w:r w:rsidR="00421AA5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1 day prior to the auction date. </w:t>
      </w:r>
    </w:p>
    <w:p w:rsidR="00654FB6" w:rsidRPr="0032469B" w:rsidRDefault="00654FB6" w:rsidP="002E23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auction consists of multiple rounds. While duration of first round is for 30 minutes all subsequent rounds would of 15 minutes. During a round bidders have to bid quantity at the round price indicated by the auction system. Bidders need to select their own lot size out of the pre-defined lot sizes available and must bid a quantity that is a multiple of chosen lot size. Seller may specify a minimum bid quantity, in which case bid quantity has to be greater than or </w:t>
      </w:r>
      <w:r w:rsidR="00B94180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equal to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seller defined minimum bid quantity. </w:t>
      </w:r>
    </w:p>
    <w:p w:rsidR="00654FB6" w:rsidRPr="0032469B" w:rsidRDefault="00654FB6" w:rsidP="002E23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When the demand in a round exceeds MOQ (Maximum Offer Quantity), the auction will enter into the next round. There will be a time gap of 5 minutes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lastRenderedPageBreak/>
        <w:t xml:space="preserve">between rounds. This process will continue till the Demand is less than or equal to the MOQ. The auction will terminate when this condition is met. </w:t>
      </w:r>
    </w:p>
    <w:p w:rsidR="00654FB6" w:rsidRPr="0032469B" w:rsidRDefault="00654FB6" w:rsidP="002E23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prices will increase in every consecutive round as per the tick size. The price increase would depend upon the Demand Supply ratio as explained below.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32469B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  <w:r w:rsidRPr="0032469B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tbl>
      <w:tblPr>
        <w:tblStyle w:val="LightGrid-Accent6"/>
        <w:tblW w:w="5040" w:type="dxa"/>
        <w:jc w:val="center"/>
        <w:tblLook w:val="04A0" w:firstRow="1" w:lastRow="0" w:firstColumn="1" w:lastColumn="0" w:noHBand="0" w:noVBand="1"/>
      </w:tblPr>
      <w:tblGrid>
        <w:gridCol w:w="2238"/>
        <w:gridCol w:w="2880"/>
      </w:tblGrid>
      <w:tr w:rsidR="00045C2C" w:rsidRPr="0032469B" w:rsidTr="00037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  <w:t>Demand/Supply Ratio</w:t>
            </w:r>
          </w:p>
        </w:tc>
        <w:tc>
          <w:tcPr>
            <w:tcW w:w="288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  <w:t>No. of Ticks for Price Increase</w:t>
            </w:r>
          </w:p>
        </w:tc>
      </w:tr>
      <w:tr w:rsidR="00045C2C" w:rsidRPr="0032469B" w:rsidTr="00037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  <w:t>&gt;=5</w:t>
            </w:r>
          </w:p>
        </w:tc>
        <w:tc>
          <w:tcPr>
            <w:tcW w:w="288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  <w:t>5</w:t>
            </w:r>
          </w:p>
        </w:tc>
      </w:tr>
      <w:tr w:rsidR="00045C2C" w:rsidRPr="0032469B" w:rsidTr="00037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  <w:t>&gt;=4  and  &lt;5</w:t>
            </w:r>
          </w:p>
        </w:tc>
        <w:tc>
          <w:tcPr>
            <w:tcW w:w="288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  <w:t>4</w:t>
            </w:r>
          </w:p>
        </w:tc>
      </w:tr>
      <w:tr w:rsidR="00045C2C" w:rsidRPr="0032469B" w:rsidTr="00037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  <w:t>&gt;=3  and  &lt;4</w:t>
            </w:r>
          </w:p>
        </w:tc>
        <w:tc>
          <w:tcPr>
            <w:tcW w:w="288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  <w:t>3</w:t>
            </w:r>
          </w:p>
        </w:tc>
      </w:tr>
      <w:tr w:rsidR="00045C2C" w:rsidRPr="0032469B" w:rsidTr="00037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  <w:t>&gt;= 2 and  &lt;3</w:t>
            </w:r>
          </w:p>
        </w:tc>
        <w:tc>
          <w:tcPr>
            <w:tcW w:w="288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  <w:t>2</w:t>
            </w:r>
          </w:p>
        </w:tc>
      </w:tr>
      <w:tr w:rsidR="00045C2C" w:rsidRPr="0032469B" w:rsidTr="00037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b w:val="0"/>
                <w:color w:val="000000"/>
                <w:sz w:val="24"/>
                <w:lang w:eastAsia="en-IN"/>
              </w:rPr>
              <w:t>&lt;2</w:t>
            </w:r>
          </w:p>
        </w:tc>
        <w:tc>
          <w:tcPr>
            <w:tcW w:w="2880" w:type="dxa"/>
            <w:noWrap/>
            <w:hideMark/>
          </w:tcPr>
          <w:p w:rsidR="00045C2C" w:rsidRPr="0032469B" w:rsidRDefault="00045C2C" w:rsidP="00240B4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</w:pPr>
            <w:r w:rsidRPr="0032469B">
              <w:rPr>
                <w:rFonts w:ascii="Bookman Old Style" w:eastAsia="Times New Roman" w:hAnsi="Bookman Old Style" w:cs="Times New Roman"/>
                <w:color w:val="000000"/>
                <w:sz w:val="24"/>
                <w:lang w:eastAsia="en-IN"/>
              </w:rPr>
              <w:t>1</w:t>
            </w:r>
          </w:p>
        </w:tc>
      </w:tr>
    </w:tbl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037264" w:rsidRPr="0032469B" w:rsidRDefault="00654FB6" w:rsidP="00643F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 gap of 5 minutes would be made between consecutive rounds. There</w:t>
      </w:r>
      <w:r w:rsidR="00037264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shall be maximum </w:t>
      </w:r>
      <w:r w:rsidR="00705EE5">
        <w:rPr>
          <w:rFonts w:ascii="Bookman Old Style" w:hAnsi="Bookman Old Style" w:cs="Bookman Old Style"/>
          <w:color w:val="000000"/>
          <w:sz w:val="24"/>
          <w:szCs w:val="24"/>
        </w:rPr>
        <w:t>5</w:t>
      </w:r>
      <w:r w:rsidR="00705EE5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such rounds. </w:t>
      </w:r>
    </w:p>
    <w:p w:rsidR="00037264" w:rsidRPr="0032469B" w:rsidRDefault="00654FB6" w:rsidP="00643F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 CP (Clearing price) would be determined, based on the results of the auction. The price for the Round which will yield the maximum trade</w:t>
      </w:r>
      <w:r w:rsidR="00037264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value in the auction will be called as the Clearing Price. </w:t>
      </w:r>
    </w:p>
    <w:p w:rsidR="00037264" w:rsidRPr="0032469B" w:rsidRDefault="00654FB6" w:rsidP="00643F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The quantity allocation will be done as per the quantity bid submitted in the system by the bidder.</w:t>
      </w:r>
    </w:p>
    <w:p w:rsidR="00037264" w:rsidRPr="0032469B" w:rsidRDefault="00654FB6" w:rsidP="00643F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During an auction session, a bidder may modify his quantity downward</w:t>
      </w:r>
      <w:r w:rsidR="00037264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or maintain the quantity in consecutive rounds to be in the auction. </w:t>
      </w:r>
    </w:p>
    <w:p w:rsidR="00037264" w:rsidRPr="0032469B" w:rsidRDefault="00654FB6" w:rsidP="00643F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Bidders have to join the auction from round 1. Bidders cannot enter</w:t>
      </w:r>
      <w:r w:rsidR="00037264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auction in between rounds. </w:t>
      </w:r>
    </w:p>
    <w:p w:rsidR="00037264" w:rsidRPr="0032469B" w:rsidRDefault="00654FB6" w:rsidP="00643F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No cancellation of Bids shall be allowed once the round is concluded. </w:t>
      </w:r>
      <w:r w:rsidR="00037264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However, during the round timings, bidders can cancel or modify their</w:t>
      </w:r>
      <w:r w:rsidR="00037264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bids number of times and last bid shall be final. </w:t>
      </w:r>
    </w:p>
    <w:p w:rsidR="00037264" w:rsidRPr="0032469B" w:rsidRDefault="00654FB6" w:rsidP="00643F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In subsequent rounds after round one, bidders are only allowed to reduce or maintain quantity.</w:t>
      </w:r>
    </w:p>
    <w:p w:rsidR="00037264" w:rsidRPr="0032469B" w:rsidRDefault="00654FB6" w:rsidP="00643F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lastRenderedPageBreak/>
        <w:t xml:space="preserve">The final results of the </w:t>
      </w:r>
      <w:proofErr w:type="spellStart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eAuction</w:t>
      </w:r>
      <w:proofErr w:type="spell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are binding on all bidders and any</w:t>
      </w:r>
      <w:r w:rsidR="00037264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requests for cancellation received after the conclusion of an auction</w:t>
      </w:r>
      <w:r w:rsidR="00037264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session shall result in the forfeiture of the Bid Bond. </w:t>
      </w:r>
    </w:p>
    <w:p w:rsidR="00A85CE7" w:rsidRPr="00643FDC" w:rsidRDefault="00654FB6" w:rsidP="00094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643FDC">
        <w:rPr>
          <w:rFonts w:ascii="Bookman Old Style" w:hAnsi="Bookman Old Style" w:cs="Bookman Old Style"/>
          <w:color w:val="000000"/>
          <w:sz w:val="24"/>
          <w:szCs w:val="24"/>
        </w:rPr>
        <w:t>Any bid placed using the bidder’s username and the password shall be</w:t>
      </w:r>
      <w:r w:rsidR="00037264"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643FDC">
        <w:rPr>
          <w:rFonts w:ascii="Bookman Old Style" w:hAnsi="Bookman Old Style" w:cs="Bookman Old Style"/>
          <w:color w:val="000000"/>
          <w:sz w:val="24"/>
          <w:szCs w:val="24"/>
        </w:rPr>
        <w:t>deemed to be an unconditional binding of the bidder to whom such</w:t>
      </w:r>
      <w:r w:rsidR="00037264"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643FDC">
        <w:rPr>
          <w:rFonts w:ascii="Bookman Old Style" w:hAnsi="Bookman Old Style" w:cs="Bookman Old Style"/>
          <w:color w:val="000000"/>
          <w:sz w:val="24"/>
          <w:szCs w:val="24"/>
        </w:rPr>
        <w:t>username and the password has been allotted, inter-alia, for the</w:t>
      </w:r>
      <w:r w:rsidR="00037264"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purpose of the </w:t>
      </w:r>
      <w:proofErr w:type="spellStart"/>
      <w:r w:rsidRPr="00643FDC">
        <w:rPr>
          <w:rFonts w:ascii="Bookman Old Style" w:hAnsi="Bookman Old Style" w:cs="Bookman Old Style"/>
          <w:color w:val="000000"/>
          <w:sz w:val="24"/>
          <w:szCs w:val="24"/>
        </w:rPr>
        <w:t>eAuction</w:t>
      </w:r>
      <w:proofErr w:type="spellEnd"/>
      <w:r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 and the bidder shall be solely and fully</w:t>
      </w:r>
      <w:r w:rsidR="00037264"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643FDC">
        <w:rPr>
          <w:rFonts w:ascii="Bookman Old Style" w:hAnsi="Bookman Old Style" w:cs="Bookman Old Style"/>
          <w:color w:val="000000"/>
          <w:sz w:val="24"/>
          <w:szCs w:val="24"/>
        </w:rPr>
        <w:t>responsible for all the activities that occur under such username and</w:t>
      </w:r>
      <w:r w:rsidR="00037264"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643FDC">
        <w:rPr>
          <w:rFonts w:ascii="Bookman Old Style" w:hAnsi="Bookman Old Style" w:cs="Bookman Old Style"/>
          <w:color w:val="000000"/>
          <w:sz w:val="24"/>
          <w:szCs w:val="24"/>
        </w:rPr>
        <w:t>password. The user is therefore advised to check the username and</w:t>
      </w:r>
      <w:r w:rsidR="00037264"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the password before the </w:t>
      </w:r>
      <w:proofErr w:type="spellStart"/>
      <w:r w:rsidRPr="00643FDC">
        <w:rPr>
          <w:rFonts w:ascii="Bookman Old Style" w:hAnsi="Bookman Old Style" w:cs="Bookman Old Style"/>
          <w:color w:val="000000"/>
          <w:sz w:val="24"/>
          <w:szCs w:val="24"/>
        </w:rPr>
        <w:t>eAuction</w:t>
      </w:r>
      <w:proofErr w:type="spellEnd"/>
      <w:r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 and is advised not to reveal it to</w:t>
      </w:r>
      <w:r w:rsidR="00037264" w:rsidRPr="00643FDC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643FDC">
        <w:rPr>
          <w:rFonts w:ascii="Bookman Old Style" w:hAnsi="Bookman Old Style" w:cs="Bookman Old Style"/>
          <w:color w:val="000000"/>
          <w:sz w:val="24"/>
          <w:szCs w:val="24"/>
        </w:rPr>
        <w:t>anyone else so as to prevent misuse of the same.</w:t>
      </w:r>
      <w:r w:rsidRPr="00643FDC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p w:rsidR="00A85CE7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12" w:name="_Toc530130113"/>
      <w:r w:rsidRPr="0032469B">
        <w:rPr>
          <w:rFonts w:ascii="Bookman Old Style" w:hAnsi="Bookman Old Style"/>
        </w:rPr>
        <w:t>Margin Requirements</w:t>
      </w:r>
      <w:bookmarkEnd w:id="12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F25F2E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EMD defined as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Rs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/MT</w:t>
      </w:r>
      <w:r w:rsidR="00654FB6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as mentioned i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n Fee Schedule would have to be </w:t>
      </w:r>
      <w:r w:rsidR="00654FB6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deposited for the 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intended bid </w:t>
      </w:r>
      <w:r w:rsidR="00654FB6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quantity by the buyer. </w:t>
      </w:r>
    </w:p>
    <w:p w:rsidR="00185101" w:rsidRPr="0032469B" w:rsidRDefault="00654FB6" w:rsidP="00643F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bidders shall be allowed by NCDFI to bid only if the requisite </w:t>
      </w:r>
      <w:bookmarkStart w:id="13" w:name="_GoBack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EMD</w:t>
      </w:r>
      <w:bookmarkEnd w:id="13"/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amount is available with NCDFI. The amount deposited as Bid Bond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would determine the bidding capacity of the bidder. </w:t>
      </w:r>
    </w:p>
    <w:p w:rsidR="00654FB6" w:rsidRPr="0032469B" w:rsidRDefault="00654FB6" w:rsidP="00643F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Only the Margin of the successful bidders would be blocked by NCDFI. Margins of the unsuccessful Bidder(s), including those whose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bid(s) are not accepted due to non-</w:t>
      </w:r>
      <w:proofErr w:type="spellStart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fulfillment</w:t>
      </w:r>
      <w:proofErr w:type="spell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/not meeting the conditions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attached to the bid(s), shall be returned by NCDFI.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14" w:name="_Toc530130114"/>
      <w:r w:rsidRPr="0032469B">
        <w:rPr>
          <w:rFonts w:ascii="Bookman Old Style" w:hAnsi="Bookman Old Style"/>
        </w:rPr>
        <w:t>Contract Period</w:t>
      </w:r>
      <w:bookmarkEnd w:id="14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contract period for effecting delivery 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and payment shall be within the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specified Contract Period Date mentioned for the auction.</w:t>
      </w:r>
      <w:r w:rsidR="00643FDC" w:rsidRPr="0032469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006013" w:rsidRDefault="00006013">
      <w:pPr>
        <w:rPr>
          <w:rFonts w:ascii="Bookman Old Style" w:eastAsiaTheme="majorEastAsia" w:hAnsi="Bookman Old Style" w:cstheme="majorBidi"/>
          <w:b/>
          <w:bCs/>
          <w:color w:val="4F81BD" w:themeColor="accent1"/>
          <w:sz w:val="26"/>
          <w:szCs w:val="26"/>
        </w:rPr>
      </w:pPr>
      <w:bookmarkStart w:id="15" w:name="_Toc530130115"/>
      <w:r>
        <w:rPr>
          <w:rFonts w:ascii="Bookman Old Style" w:hAnsi="Bookman Old Style"/>
        </w:rPr>
        <w:br w:type="page"/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r w:rsidRPr="0032469B">
        <w:rPr>
          <w:rFonts w:ascii="Bookman Old Style" w:hAnsi="Bookman Old Style"/>
        </w:rPr>
        <w:lastRenderedPageBreak/>
        <w:t>Penalty for default and Cancellation of trade</w:t>
      </w:r>
      <w:bookmarkEnd w:id="15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In case the buyers and sellers mutually agree to cancel the trade and prov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ide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 written consent to NCDFI, the trade wi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ll be annulled. NCDFI annulment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charges of 0.1% of the trade value i.e. quantit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y x price will be applicable to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both bidder and seller. </w:t>
      </w:r>
    </w:p>
    <w:p w:rsidR="00654FB6" w:rsidRPr="0032469B" w:rsidRDefault="00654FB6" w:rsidP="00643FDC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In case the successful bidder fails to lift the stocks or fails to pay wit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hin the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stipulated contract period the seller will be f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ree to rescind the contract and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dispose </w:t>
      </w:r>
      <w:proofErr w:type="spellStart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off</w:t>
      </w:r>
      <w:proofErr w:type="spell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the stock. In this case, the mar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gin deposited by the buyer will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stand forfeited and passed on to the seller 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after recovering the applicable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transaction fees. </w:t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16" w:name="_Toc530130116"/>
      <w:r w:rsidRPr="0032469B">
        <w:rPr>
          <w:rFonts w:ascii="Bookman Old Style" w:hAnsi="Bookman Old Style"/>
        </w:rPr>
        <w:t>Arbitration</w:t>
      </w:r>
      <w:bookmarkEnd w:id="16"/>
      <w:r w:rsidRPr="0032469B">
        <w:rPr>
          <w:rFonts w:ascii="Bookman Old Style" w:hAnsi="Bookman Old Style"/>
        </w:rPr>
        <w:t xml:space="preserve"> </w:t>
      </w:r>
    </w:p>
    <w:p w:rsidR="00654FB6" w:rsidRPr="000C70F2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Any dispute or difference in respect of any matte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r relating to or arising out of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the Contract would be first brought to th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e Market Oversight Committee of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NCDFI </w:t>
      </w:r>
      <w:proofErr w:type="spellStart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eMarket</w:t>
      </w:r>
      <w:proofErr w:type="spell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. If the parties do not agree to the resolution proposed by</w:t>
      </w:r>
      <w:r w:rsidR="000C70F2">
        <w:rPr>
          <w:rFonts w:ascii="Bookman Old Style" w:hAnsi="Bookman Old Style" w:cs="Times New Roman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Market Oversight Committee, the parties are free to appeal to the National</w:t>
      </w:r>
      <w:r w:rsidR="000C70F2">
        <w:rPr>
          <w:rFonts w:ascii="Bookman Old Style" w:hAnsi="Bookman Old Style" w:cs="Times New Roman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Dairy Development Board (NDDB). The decision of the NDDB shall 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be final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and binding on all parties. </w:t>
      </w:r>
    </w:p>
    <w:p w:rsidR="00654FB6" w:rsidRPr="0032469B" w:rsidRDefault="00654FB6" w:rsidP="002C208F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Subject to the aforesaid, the Courts at </w:t>
      </w:r>
      <w:proofErr w:type="spellStart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Anand</w:t>
      </w:r>
      <w:proofErr w:type="spellEnd"/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a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lone shall have jurisdiction in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respect of any matter arising from or r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elated to the present agreement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including any matter arising from or related to the arbitration re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ferred to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hereinabove.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32469B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p w:rsidR="00006013" w:rsidRDefault="00006013">
      <w:pPr>
        <w:rPr>
          <w:rFonts w:ascii="Bookman Old Style" w:eastAsiaTheme="majorEastAsia" w:hAnsi="Bookman Old Style" w:cstheme="majorBidi"/>
          <w:b/>
          <w:bCs/>
          <w:color w:val="4F81BD" w:themeColor="accent1"/>
          <w:sz w:val="26"/>
          <w:szCs w:val="26"/>
        </w:rPr>
      </w:pPr>
      <w:bookmarkStart w:id="17" w:name="_Toc530130117"/>
      <w:r>
        <w:rPr>
          <w:rFonts w:ascii="Bookman Old Style" w:hAnsi="Bookman Old Style"/>
        </w:rPr>
        <w:br w:type="page"/>
      </w:r>
    </w:p>
    <w:p w:rsidR="00A85CE7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r w:rsidRPr="0032469B">
        <w:rPr>
          <w:rFonts w:ascii="Bookman Old Style" w:hAnsi="Bookman Old Style"/>
        </w:rPr>
        <w:lastRenderedPageBreak/>
        <w:t>Force Majeure</w:t>
      </w:r>
      <w:bookmarkEnd w:id="17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Should any of the force majeure circumstan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ces, namely act of God, natural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calamity, fire, Government of India Policy, re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strictions (excluding any stock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limits), strikes or lock-outs by workmen, war, military ope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rations of any nature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and blockades preventing the Seller/Buyer from w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holly or partially carrying out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their contractual obligations, the period stipulated for the performance of the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Contract shall be extended for as long as these circumstances prevail, provided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that, in the event of these circumstances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continuing for more than three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months, either party shall have the right to re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fuse to </w:t>
      </w:r>
      <w:proofErr w:type="spellStart"/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>fulfill</w:t>
      </w:r>
      <w:proofErr w:type="spellEnd"/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its contractual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obligations without title to indemnification of any losses it may thereby sustain.</w:t>
      </w:r>
    </w:p>
    <w:p w:rsidR="00006013" w:rsidRDefault="00006013" w:rsidP="00C432BE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654FB6" w:rsidRPr="0032469B" w:rsidRDefault="00654FB6" w:rsidP="00C432BE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The party unable to carry out its contractua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l obligations shall immediately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advise the other party of the commence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ment and the termination of the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circumstances preventing the performance of the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contract. A certificate issued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by the respective Chamber of Commerce shall be su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fficient proof of the existence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and duration of such circumstances.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Pr="0032469B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Pr="0032469B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Pr="0032469B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Pr="0032469B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Pr="0032469B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Pr="0032469B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Pr="0032469B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Pr="0032469B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Pr="0032469B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85CE7" w:rsidRDefault="00A85CE7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42120" w:rsidRDefault="00A42120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A42120" w:rsidRDefault="00A42120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654FB6" w:rsidRPr="0032469B" w:rsidRDefault="00654FB6" w:rsidP="00FC5101">
      <w:pPr>
        <w:pStyle w:val="Heading1"/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bookmarkStart w:id="18" w:name="_Toc530130118"/>
      <w:r w:rsidRPr="0032469B">
        <w:rPr>
          <w:rFonts w:ascii="Bookman Old Style" w:hAnsi="Bookman Old Style"/>
        </w:rPr>
        <w:lastRenderedPageBreak/>
        <w:t>CHAPTER 2 - DELIVERY PROCEDURES</w:t>
      </w:r>
      <w:bookmarkEnd w:id="18"/>
    </w:p>
    <w:p w:rsidR="00A85CE7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19" w:name="_Toc530130119"/>
      <w:r w:rsidRPr="0032469B">
        <w:rPr>
          <w:rFonts w:ascii="Bookman Old Style" w:hAnsi="Bookman Old Style"/>
        </w:rPr>
        <w:t>Delivery Size</w:t>
      </w:r>
      <w:bookmarkEnd w:id="19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A quantity variation of +/- 5% is permitted as per contract specification. </w:t>
      </w:r>
    </w:p>
    <w:p w:rsidR="00A85CE7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20" w:name="_Toc530130120"/>
      <w:r w:rsidRPr="0032469B">
        <w:rPr>
          <w:rFonts w:ascii="Bookman Old Style" w:hAnsi="Bookman Old Style"/>
        </w:rPr>
        <w:t>Delivery and Payment</w:t>
      </w:r>
      <w:bookmarkEnd w:id="20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Delivery and payment will be handled be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tween buyer and seller directly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within the contract period. However, 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NCDFI shall be intimated of the 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>fulfilment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of the contract obligations through the Post Trade system. </w:t>
      </w:r>
    </w:p>
    <w:p w:rsidR="00654FB6" w:rsidRPr="0032469B" w:rsidRDefault="00654FB6" w:rsidP="003701A7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Only on successful intimation of 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payment, margins of the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buyer </w:t>
      </w:r>
      <w:r w:rsidR="0015160D">
        <w:rPr>
          <w:rFonts w:ascii="Bookman Old Style" w:hAnsi="Bookman Old Style" w:cs="Bookman Old Style"/>
          <w:color w:val="000000"/>
          <w:sz w:val="24"/>
          <w:szCs w:val="24"/>
        </w:rPr>
        <w:t>w</w:t>
      </w:r>
      <w:r w:rsidR="00104E41">
        <w:rPr>
          <w:rFonts w:ascii="Bookman Old Style" w:hAnsi="Bookman Old Style" w:cs="Bookman Old Style"/>
          <w:color w:val="000000"/>
          <w:sz w:val="24"/>
          <w:szCs w:val="24"/>
        </w:rPr>
        <w:t>ould</w:t>
      </w:r>
      <w:r w:rsidR="0015160D">
        <w:rPr>
          <w:rFonts w:ascii="Bookman Old Style" w:hAnsi="Bookman Old Style" w:cs="Bookman Old Style"/>
          <w:color w:val="000000"/>
          <w:sz w:val="24"/>
          <w:szCs w:val="24"/>
        </w:rPr>
        <w:t xml:space="preserve"> be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released. In case no in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timation is received from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seller within one month of specified co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ntract period mentioned for the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auction, it will be presumed that the contract obligations were fulfille</w:t>
      </w:r>
      <w:r w:rsidR="00185101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d and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accordingly margins of buyer would be released. </w:t>
      </w:r>
    </w:p>
    <w:p w:rsidR="00654FB6" w:rsidRPr="0032469B" w:rsidRDefault="00654FB6" w:rsidP="003701A7">
      <w:pPr>
        <w:autoSpaceDE w:val="0"/>
        <w:autoSpaceDN w:val="0"/>
        <w:adjustRightInd w:val="0"/>
        <w:spacing w:before="120"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The Seller’s responsibility shall cease onc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e the goods leave the warehouse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premises and no claim of quality, quantity an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d or any other nature, from the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buyer will be entertained thereafter.</w:t>
      </w:r>
      <w:r w:rsidRPr="0032469B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21" w:name="_Toc530130121"/>
      <w:r w:rsidRPr="0032469B">
        <w:rPr>
          <w:rFonts w:ascii="Bookman Old Style" w:hAnsi="Bookman Old Style"/>
        </w:rPr>
        <w:t>Quality Standards and Specifications</w:t>
      </w:r>
      <w:bookmarkEnd w:id="21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A42120" w:rsidP="0000601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Fo</w:t>
      </w:r>
      <w:r w:rsidR="009967A3">
        <w:rPr>
          <w:rFonts w:ascii="Bookman Old Style" w:hAnsi="Bookman Old Style" w:cs="Bookman Old Style"/>
          <w:color w:val="000000"/>
          <w:sz w:val="24"/>
          <w:szCs w:val="24"/>
        </w:rPr>
        <w:t>d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der Seeds </w:t>
      </w:r>
      <w:r w:rsidR="00654FB6" w:rsidRPr="0032469B">
        <w:rPr>
          <w:rFonts w:ascii="Bookman Old Style" w:hAnsi="Bookman Old Style" w:cs="Bookman Old Style"/>
          <w:color w:val="000000"/>
          <w:sz w:val="24"/>
          <w:szCs w:val="24"/>
        </w:rPr>
        <w:t>traded on this e-platfo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rm shall be in conformance with </w:t>
      </w:r>
      <w:r w:rsidR="00654FB6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the </w:t>
      </w:r>
      <w:r w:rsidR="00006013">
        <w:rPr>
          <w:rFonts w:ascii="Bookman Old Style" w:hAnsi="Bookman Old Style" w:cs="Bookman Old Style"/>
          <w:color w:val="000000"/>
          <w:sz w:val="24"/>
          <w:szCs w:val="24"/>
        </w:rPr>
        <w:t>mandatory requirements.</w:t>
      </w:r>
    </w:p>
    <w:p w:rsidR="00654FB6" w:rsidRPr="0032469B" w:rsidRDefault="00654FB6" w:rsidP="00D674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The quantity offered for sale by respectiv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e sellers will be published and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provided to all prospective buyers </w:t>
      </w:r>
      <w:proofErr w:type="spellStart"/>
      <w:r w:rsidR="00006013">
        <w:rPr>
          <w:rFonts w:ascii="Bookman Old Style" w:hAnsi="Bookman Old Style" w:cs="Bookman Old Style"/>
          <w:color w:val="000000"/>
          <w:sz w:val="24"/>
          <w:szCs w:val="24"/>
        </w:rPr>
        <w:t>atleast</w:t>
      </w:r>
      <w:proofErr w:type="spellEnd"/>
      <w:r w:rsidR="00006013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1 day prior to the auction date.</w:t>
      </w:r>
      <w:r w:rsidRPr="0032469B">
        <w:rPr>
          <w:rFonts w:ascii="Bookman Old Style" w:hAnsi="Bookman Old Style" w:cs="Times New Roman"/>
          <w:color w:val="000000"/>
          <w:sz w:val="20"/>
          <w:szCs w:val="20"/>
        </w:rPr>
        <w:t xml:space="preserve"> </w:t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22" w:name="_Toc530130122"/>
      <w:r w:rsidRPr="0032469B">
        <w:rPr>
          <w:rFonts w:ascii="Bookman Old Style" w:hAnsi="Bookman Old Style"/>
        </w:rPr>
        <w:t>Packaging</w:t>
      </w:r>
      <w:bookmarkEnd w:id="22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Packaging shall be as defined in the Product Data uploaded by Seller at</w:t>
      </w:r>
      <w:r w:rsidR="000C70F2">
        <w:rPr>
          <w:rFonts w:ascii="Bookman Old Style" w:hAnsi="Bookman Old Style" w:cs="Times New Roman"/>
          <w:sz w:val="24"/>
          <w:szCs w:val="24"/>
        </w:rPr>
        <w:t xml:space="preserve">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www.ncdfiemarket.com. </w:t>
      </w:r>
    </w:p>
    <w:p w:rsidR="000C70F2" w:rsidRDefault="000C70F2">
      <w:pPr>
        <w:rPr>
          <w:rFonts w:ascii="Bookman Old Style" w:eastAsiaTheme="majorEastAsia" w:hAnsi="Bookman Old Style" w:cstheme="majorBidi"/>
          <w:b/>
          <w:bCs/>
          <w:color w:val="4F81BD" w:themeColor="accent1"/>
          <w:sz w:val="26"/>
          <w:szCs w:val="26"/>
        </w:rPr>
      </w:pPr>
      <w:r>
        <w:rPr>
          <w:rFonts w:ascii="Bookman Old Style" w:hAnsi="Bookman Old Style"/>
        </w:rPr>
        <w:br w:type="page"/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23" w:name="_Toc530130123"/>
      <w:r w:rsidRPr="0032469B">
        <w:rPr>
          <w:rFonts w:ascii="Bookman Old Style" w:hAnsi="Bookman Old Style"/>
        </w:rPr>
        <w:lastRenderedPageBreak/>
        <w:t>Quality Assurance</w:t>
      </w:r>
      <w:bookmarkEnd w:id="23"/>
      <w:r w:rsidRPr="0032469B">
        <w:rPr>
          <w:rFonts w:ascii="Bookman Old Style" w:hAnsi="Bookman Old Style"/>
        </w:rPr>
        <w:t xml:space="preserve"> </w:t>
      </w:r>
    </w:p>
    <w:p w:rsidR="00654FB6" w:rsidRPr="0032469B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Sellers would maintain the quality certificate f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or stocks being sold and copies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of the certificates shall be made available to the buyer on demand. </w:t>
      </w:r>
    </w:p>
    <w:p w:rsidR="00654FB6" w:rsidRPr="0032469B" w:rsidRDefault="00654FB6" w:rsidP="007E023A">
      <w:pPr>
        <w:pStyle w:val="Heading2"/>
        <w:spacing w:line="360" w:lineRule="auto"/>
        <w:rPr>
          <w:rFonts w:ascii="Bookman Old Style" w:hAnsi="Bookman Old Style" w:cs="Times New Roman"/>
        </w:rPr>
      </w:pPr>
      <w:bookmarkStart w:id="24" w:name="_Toc530130124"/>
      <w:r w:rsidRPr="0032469B">
        <w:rPr>
          <w:rFonts w:ascii="Bookman Old Style" w:hAnsi="Bookman Old Style"/>
        </w:rPr>
        <w:t>Transaction Charges</w:t>
      </w:r>
      <w:bookmarkEnd w:id="24"/>
      <w:r w:rsidRPr="0032469B">
        <w:rPr>
          <w:rFonts w:ascii="Bookman Old Style" w:hAnsi="Bookman Old Style"/>
        </w:rPr>
        <w:t xml:space="preserve"> </w:t>
      </w:r>
      <w:r w:rsidRPr="0032469B">
        <w:rPr>
          <w:rFonts w:ascii="Bookman Old Style" w:hAnsi="Bookman Old Style" w:cs="Times New Roman"/>
          <w:sz w:val="20"/>
          <w:szCs w:val="20"/>
        </w:rPr>
        <w:t xml:space="preserve">  </w:t>
      </w:r>
    </w:p>
    <w:p w:rsidR="00654FB6" w:rsidRDefault="00654FB6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NCDFI shall collect transaction charge of the 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contract value from the </w:t>
      </w:r>
      <w:r w:rsidR="00142319">
        <w:rPr>
          <w:rFonts w:ascii="Bookman Old Style" w:hAnsi="Bookman Old Style" w:cs="Bookman Old Style"/>
          <w:color w:val="000000"/>
          <w:sz w:val="24"/>
          <w:szCs w:val="24"/>
        </w:rPr>
        <w:t>Buyer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,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as per transaction charge sch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edule published and in force at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>www.ncdfiemarket.com. These transaction</w:t>
      </w:r>
      <w:r w:rsidR="00A85CE7"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 charges shall be deducted from 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margin money / advance transaction fee of the </w:t>
      </w:r>
      <w:r w:rsidR="00142319">
        <w:rPr>
          <w:rFonts w:ascii="Bookman Old Style" w:hAnsi="Bookman Old Style" w:cs="Bookman Old Style"/>
          <w:color w:val="000000"/>
          <w:sz w:val="24"/>
          <w:szCs w:val="24"/>
        </w:rPr>
        <w:t>buyer</w:t>
      </w:r>
      <w:r w:rsidRPr="0032469B">
        <w:rPr>
          <w:rFonts w:ascii="Bookman Old Style" w:hAnsi="Bookman Old Style" w:cs="Bookman Old Style"/>
          <w:color w:val="000000"/>
          <w:sz w:val="24"/>
          <w:szCs w:val="24"/>
        </w:rPr>
        <w:t xml:space="preserve">. </w:t>
      </w:r>
    </w:p>
    <w:p w:rsidR="000C70F2" w:rsidRDefault="000C70F2" w:rsidP="007E023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0C70F2" w:rsidRPr="0032469B" w:rsidRDefault="000C70F2" w:rsidP="000C70F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***</w:t>
      </w:r>
    </w:p>
    <w:sectPr w:rsidR="000C70F2" w:rsidRPr="00324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88" w:rsidRDefault="00AD1C88" w:rsidP="00654FB6">
      <w:pPr>
        <w:spacing w:after="0" w:line="240" w:lineRule="auto"/>
      </w:pPr>
      <w:r>
        <w:separator/>
      </w:r>
    </w:p>
  </w:endnote>
  <w:endnote w:type="continuationSeparator" w:id="0">
    <w:p w:rsidR="00AD1C88" w:rsidRDefault="00AD1C88" w:rsidP="006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36" w:rsidRDefault="000B0136" w:rsidP="000B013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Bookman Old Style" w:hAnsi="Bookman Old Style" w:cs="Bookman Old Style"/>
        <w:color w:val="000000"/>
        <w:sz w:val="16"/>
        <w:szCs w:val="16"/>
      </w:rPr>
      <w:t xml:space="preserve">The contents of this contract note are subject to Rules and Regulations of NCDFI </w:t>
    </w:r>
    <w:proofErr w:type="spellStart"/>
    <w:r>
      <w:rPr>
        <w:rFonts w:ascii="Bookman Old Style" w:hAnsi="Bookman Old Style" w:cs="Bookman Old Style"/>
        <w:color w:val="000000"/>
        <w:sz w:val="16"/>
        <w:szCs w:val="16"/>
      </w:rPr>
      <w:t>eMarket</w:t>
    </w:r>
    <w:proofErr w:type="spellEnd"/>
    <w:r>
      <w:rPr>
        <w:rFonts w:ascii="Bookman Old Style" w:hAnsi="Bookman Old Style" w:cs="Bookman Old Style"/>
        <w:color w:val="000000"/>
        <w:sz w:val="16"/>
        <w:szCs w:val="16"/>
      </w:rPr>
      <w:t xml:space="preserve"> as in force from time to time and be read therewith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25F2E" w:rsidRPr="00F25F2E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54FB6" w:rsidRDefault="00654FB6" w:rsidP="00654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88" w:rsidRDefault="00AD1C88" w:rsidP="00654FB6">
      <w:pPr>
        <w:spacing w:after="0" w:line="240" w:lineRule="auto"/>
      </w:pPr>
      <w:r>
        <w:separator/>
      </w:r>
    </w:p>
  </w:footnote>
  <w:footnote w:type="continuationSeparator" w:id="0">
    <w:p w:rsidR="00AD1C88" w:rsidRDefault="00AD1C88" w:rsidP="0065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85" w:rsidRDefault="00464F85" w:rsidP="00464F85">
    <w:pPr>
      <w:pStyle w:val="Header"/>
      <w:jc w:val="right"/>
    </w:pPr>
    <w:r>
      <w:rPr>
        <w:noProof/>
        <w:lang w:eastAsia="en-IN"/>
      </w:rPr>
      <w:drawing>
        <wp:inline distT="0" distB="0" distL="0" distR="0" wp14:anchorId="49CC4250" wp14:editId="3C18D207">
          <wp:extent cx="1093555" cy="6294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555" cy="629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07B9"/>
    <w:multiLevelType w:val="hybridMultilevel"/>
    <w:tmpl w:val="D788FAF4"/>
    <w:lvl w:ilvl="0" w:tplc="E908666A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0D67"/>
    <w:multiLevelType w:val="hybridMultilevel"/>
    <w:tmpl w:val="CE42709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A5E76"/>
    <w:multiLevelType w:val="hybridMultilevel"/>
    <w:tmpl w:val="96DC1CC4"/>
    <w:lvl w:ilvl="0" w:tplc="FB14C25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AF"/>
    <w:rsid w:val="00006013"/>
    <w:rsid w:val="00037264"/>
    <w:rsid w:val="00043586"/>
    <w:rsid w:val="00045C2C"/>
    <w:rsid w:val="000655EF"/>
    <w:rsid w:val="000B0136"/>
    <w:rsid w:val="000B01CF"/>
    <w:rsid w:val="000C70F2"/>
    <w:rsid w:val="00104E41"/>
    <w:rsid w:val="00120748"/>
    <w:rsid w:val="00142319"/>
    <w:rsid w:val="0015160D"/>
    <w:rsid w:val="00185101"/>
    <w:rsid w:val="001B718D"/>
    <w:rsid w:val="00220C2B"/>
    <w:rsid w:val="002328FF"/>
    <w:rsid w:val="00240B48"/>
    <w:rsid w:val="0024432F"/>
    <w:rsid w:val="002C208F"/>
    <w:rsid w:val="002E23F0"/>
    <w:rsid w:val="0032469B"/>
    <w:rsid w:val="003701A7"/>
    <w:rsid w:val="003E47F1"/>
    <w:rsid w:val="00421AA5"/>
    <w:rsid w:val="00464F85"/>
    <w:rsid w:val="00465003"/>
    <w:rsid w:val="0055087C"/>
    <w:rsid w:val="005534F9"/>
    <w:rsid w:val="0058311D"/>
    <w:rsid w:val="005E7308"/>
    <w:rsid w:val="00643FDC"/>
    <w:rsid w:val="00654FB6"/>
    <w:rsid w:val="00705EE5"/>
    <w:rsid w:val="00706F80"/>
    <w:rsid w:val="00714692"/>
    <w:rsid w:val="0071531D"/>
    <w:rsid w:val="00782DC1"/>
    <w:rsid w:val="007D5039"/>
    <w:rsid w:val="007D7F8A"/>
    <w:rsid w:val="007E023A"/>
    <w:rsid w:val="008102CC"/>
    <w:rsid w:val="00810A5E"/>
    <w:rsid w:val="00815D17"/>
    <w:rsid w:val="008B1E5F"/>
    <w:rsid w:val="009866AF"/>
    <w:rsid w:val="009866E2"/>
    <w:rsid w:val="009967A3"/>
    <w:rsid w:val="009F15E6"/>
    <w:rsid w:val="00A25D74"/>
    <w:rsid w:val="00A42120"/>
    <w:rsid w:val="00A7433D"/>
    <w:rsid w:val="00A76832"/>
    <w:rsid w:val="00A85CE7"/>
    <w:rsid w:val="00AA7941"/>
    <w:rsid w:val="00AB2DC4"/>
    <w:rsid w:val="00AD1C88"/>
    <w:rsid w:val="00AE08C1"/>
    <w:rsid w:val="00B116F6"/>
    <w:rsid w:val="00B62661"/>
    <w:rsid w:val="00B73177"/>
    <w:rsid w:val="00B75A43"/>
    <w:rsid w:val="00B94180"/>
    <w:rsid w:val="00BE4451"/>
    <w:rsid w:val="00C432BE"/>
    <w:rsid w:val="00C92F12"/>
    <w:rsid w:val="00CC690A"/>
    <w:rsid w:val="00D348CA"/>
    <w:rsid w:val="00D67408"/>
    <w:rsid w:val="00D76BB5"/>
    <w:rsid w:val="00DB180A"/>
    <w:rsid w:val="00E14D9A"/>
    <w:rsid w:val="00E2637F"/>
    <w:rsid w:val="00E31BAE"/>
    <w:rsid w:val="00E57066"/>
    <w:rsid w:val="00E67A35"/>
    <w:rsid w:val="00E71C49"/>
    <w:rsid w:val="00EA61E9"/>
    <w:rsid w:val="00ED2E49"/>
    <w:rsid w:val="00ED3830"/>
    <w:rsid w:val="00F073CE"/>
    <w:rsid w:val="00F07EF7"/>
    <w:rsid w:val="00F25F2E"/>
    <w:rsid w:val="00F47B2E"/>
    <w:rsid w:val="00F820A7"/>
    <w:rsid w:val="00FA0BA3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FAE6"/>
  <w15:docId w15:val="{0FEE39EC-F32B-4E59-BCBF-58AAAE21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FB6"/>
  </w:style>
  <w:style w:type="paragraph" w:styleId="Footer">
    <w:name w:val="footer"/>
    <w:basedOn w:val="Normal"/>
    <w:link w:val="FooterChar"/>
    <w:uiPriority w:val="99"/>
    <w:unhideWhenUsed/>
    <w:rsid w:val="00654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FB6"/>
  </w:style>
  <w:style w:type="paragraph" w:styleId="ListParagraph">
    <w:name w:val="List Paragraph"/>
    <w:basedOn w:val="Normal"/>
    <w:uiPriority w:val="34"/>
    <w:qFormat/>
    <w:rsid w:val="00654FB6"/>
    <w:pPr>
      <w:ind w:left="720"/>
      <w:contextualSpacing/>
    </w:pPr>
  </w:style>
  <w:style w:type="table" w:styleId="TableGrid">
    <w:name w:val="Table Grid"/>
    <w:basedOn w:val="TableNormal"/>
    <w:uiPriority w:val="59"/>
    <w:rsid w:val="0065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654FB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654F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372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85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8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B013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47B2E"/>
    <w:pPr>
      <w:tabs>
        <w:tab w:val="right" w:leader="dot" w:pos="9016"/>
      </w:tabs>
      <w:spacing w:after="100"/>
      <w:ind w:left="142" w:firstLine="142"/>
    </w:pPr>
  </w:style>
  <w:style w:type="paragraph" w:styleId="TOC2">
    <w:name w:val="toc 2"/>
    <w:basedOn w:val="Normal"/>
    <w:next w:val="Normal"/>
    <w:autoRedefine/>
    <w:uiPriority w:val="39"/>
    <w:unhideWhenUsed/>
    <w:rsid w:val="000B013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B013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20C2B"/>
    <w:pPr>
      <w:spacing w:after="100" w:line="259" w:lineRule="auto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91D5-80F8-41EC-AC0C-76B70906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pramod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Dhanush A R</dc:creator>
  <cp:keywords/>
  <dc:description/>
  <cp:lastModifiedBy>Shayin Vakkayil</cp:lastModifiedBy>
  <cp:revision>10</cp:revision>
  <dcterms:created xsi:type="dcterms:W3CDTF">2019-02-21T09:22:00Z</dcterms:created>
  <dcterms:modified xsi:type="dcterms:W3CDTF">2019-02-25T09:05:00Z</dcterms:modified>
</cp:coreProperties>
</file>